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2023年成品油零售经营资格拟核准建设情况表</w:t>
      </w:r>
    </w:p>
    <w:p>
      <w:pPr>
        <w:ind w:firstLine="675" w:firstLineChars="450"/>
        <w:jc w:val="both"/>
        <w:rPr>
          <w:rFonts w:hint="eastAsia" w:ascii="华文仿宋" w:hAnsi="华文仿宋" w:eastAsia="华文仿宋" w:cs="华文仿宋"/>
          <w:b w:val="0"/>
          <w:bCs/>
          <w:sz w:val="15"/>
          <w:szCs w:val="15"/>
          <w:lang w:val="en-US" w:eastAsia="zh-CN"/>
        </w:rPr>
      </w:pPr>
    </w:p>
    <w:tbl>
      <w:tblPr>
        <w:tblStyle w:val="3"/>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285"/>
        <w:gridCol w:w="780"/>
        <w:gridCol w:w="780"/>
        <w:gridCol w:w="4065"/>
        <w:gridCol w:w="1455"/>
        <w:gridCol w:w="154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序号</w:t>
            </w:r>
          </w:p>
        </w:tc>
        <w:tc>
          <w:tcPr>
            <w:tcW w:w="328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企业名称</w:t>
            </w:r>
          </w:p>
        </w:tc>
        <w:tc>
          <w:tcPr>
            <w:tcW w:w="780"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位置分类</w:t>
            </w:r>
          </w:p>
        </w:tc>
        <w:tc>
          <w:tcPr>
            <w:tcW w:w="780"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建站级别</w:t>
            </w:r>
          </w:p>
        </w:tc>
        <w:tc>
          <w:tcPr>
            <w:tcW w:w="406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地</w:t>
            </w:r>
            <w:r>
              <w:rPr>
                <w:rFonts w:hint="eastAsia"/>
                <w:b/>
                <w:bCs/>
                <w:sz w:val="24"/>
                <w:szCs w:val="24"/>
                <w:vertAlign w:val="baseline"/>
                <w:lang w:val="en-US" w:eastAsia="zh-CN"/>
              </w:rPr>
              <w:t xml:space="preserve">    </w:t>
            </w:r>
            <w:r>
              <w:rPr>
                <w:rFonts w:hint="eastAsia"/>
                <w:b/>
                <w:bCs/>
                <w:sz w:val="24"/>
                <w:szCs w:val="24"/>
                <w:vertAlign w:val="baseline"/>
                <w:lang w:eastAsia="zh-CN"/>
              </w:rPr>
              <w:t>址</w:t>
            </w:r>
          </w:p>
        </w:tc>
        <w:tc>
          <w:tcPr>
            <w:tcW w:w="145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总投资</w:t>
            </w:r>
          </w:p>
        </w:tc>
        <w:tc>
          <w:tcPr>
            <w:tcW w:w="154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占地面积</w:t>
            </w:r>
          </w:p>
        </w:tc>
        <w:tc>
          <w:tcPr>
            <w:tcW w:w="1620"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3285" w:type="dxa"/>
            <w:vAlign w:val="center"/>
          </w:tcPr>
          <w:p>
            <w:pPr>
              <w:jc w:val="center"/>
              <w:rPr>
                <w:rFonts w:hint="eastAsia" w:eastAsiaTheme="minorEastAsia"/>
                <w:vertAlign w:val="baseline"/>
                <w:lang w:val="en-US" w:eastAsia="zh-CN"/>
              </w:rPr>
            </w:pPr>
            <w:r>
              <w:rPr>
                <w:rFonts w:hint="eastAsia"/>
                <w:vertAlign w:val="baseline"/>
                <w:lang w:eastAsia="zh-CN"/>
              </w:rPr>
              <w:t>内蒙古北疆能源物资发展有限责任</w:t>
            </w:r>
            <w:r>
              <w:rPr>
                <w:rFonts w:hint="eastAsia"/>
                <w:vertAlign w:val="baseline"/>
                <w:lang w:val="en-US" w:eastAsia="zh-CN"/>
              </w:rPr>
              <w:t>公司正蓝旗桑根达来北</w:t>
            </w:r>
            <w:r>
              <w:rPr>
                <w:rFonts w:hint="eastAsia"/>
                <w:vertAlign w:val="baseline"/>
                <w:lang w:eastAsia="zh-CN"/>
              </w:rPr>
              <w:t>加油</w:t>
            </w:r>
            <w:r>
              <w:rPr>
                <w:rFonts w:hint="eastAsia"/>
                <w:vertAlign w:val="baseline"/>
                <w:lang w:val="en-US" w:eastAsia="zh-CN"/>
              </w:rPr>
              <w:t>加气</w:t>
            </w:r>
            <w:r>
              <w:rPr>
                <w:rFonts w:hint="eastAsia"/>
                <w:vertAlign w:val="baseline"/>
                <w:lang w:eastAsia="zh-CN"/>
              </w:rPr>
              <w:t>站</w:t>
            </w:r>
          </w:p>
        </w:tc>
        <w:tc>
          <w:tcPr>
            <w:tcW w:w="780" w:type="dxa"/>
            <w:vAlign w:val="center"/>
          </w:tcPr>
          <w:p>
            <w:pPr>
              <w:jc w:val="center"/>
              <w:rPr>
                <w:rFonts w:hint="default" w:eastAsiaTheme="minorEastAsia"/>
                <w:vertAlign w:val="baseline"/>
                <w:lang w:val="en-US" w:eastAsia="zh-CN"/>
              </w:rPr>
            </w:pPr>
            <w:r>
              <w:rPr>
                <w:rFonts w:hint="eastAsia"/>
                <w:vertAlign w:val="baseline"/>
                <w:lang w:val="en-US" w:eastAsia="zh-CN"/>
              </w:rPr>
              <w:t>高速公路</w:t>
            </w:r>
          </w:p>
        </w:tc>
        <w:tc>
          <w:tcPr>
            <w:tcW w:w="780" w:type="dxa"/>
            <w:vAlign w:val="center"/>
          </w:tcPr>
          <w:p>
            <w:pPr>
              <w:bidi w:val="0"/>
              <w:jc w:val="both"/>
              <w:rPr>
                <w:lang w:val="en-US" w:eastAsia="zh-CN"/>
              </w:rPr>
            </w:pPr>
            <w:r>
              <w:rPr>
                <w:rFonts w:hint="eastAsia"/>
                <w:lang w:val="en-US" w:eastAsia="zh-CN"/>
              </w:rPr>
              <w:t>一级</w:t>
            </w:r>
          </w:p>
        </w:tc>
        <w:tc>
          <w:tcPr>
            <w:tcW w:w="4065" w:type="dxa"/>
            <w:vAlign w:val="center"/>
          </w:tcPr>
          <w:p>
            <w:pPr>
              <w:jc w:val="center"/>
              <w:rPr>
                <w:rFonts w:hint="default" w:eastAsiaTheme="minorEastAsia"/>
                <w:vertAlign w:val="baseline"/>
                <w:lang w:val="en-US" w:eastAsia="zh-CN"/>
              </w:rPr>
            </w:pPr>
            <w:r>
              <w:rPr>
                <w:rFonts w:hint="eastAsia"/>
                <w:vertAlign w:val="baseline"/>
                <w:lang w:val="en-US" w:eastAsia="zh-CN"/>
              </w:rPr>
              <w:t>正蓝旗二广</w:t>
            </w:r>
            <w:bookmarkStart w:id="0" w:name="_GoBack"/>
            <w:bookmarkEnd w:id="0"/>
            <w:r>
              <w:rPr>
                <w:rFonts w:hint="eastAsia"/>
                <w:vertAlign w:val="baseline"/>
                <w:lang w:val="en-US" w:eastAsia="zh-CN"/>
              </w:rPr>
              <w:t>高速集宁至阿荣旗联络线安业至公主埂段桑根达来服务区北区</w:t>
            </w:r>
          </w:p>
        </w:tc>
        <w:tc>
          <w:tcPr>
            <w:tcW w:w="1455" w:type="dxa"/>
            <w:vAlign w:val="center"/>
          </w:tcPr>
          <w:p>
            <w:pPr>
              <w:jc w:val="center"/>
              <w:rPr>
                <w:rFonts w:hint="default" w:eastAsiaTheme="minorEastAsia"/>
                <w:vertAlign w:val="baseline"/>
                <w:lang w:val="en-US" w:eastAsia="zh-CN"/>
              </w:rPr>
            </w:pPr>
            <w:r>
              <w:rPr>
                <w:rFonts w:hint="eastAsia"/>
                <w:vertAlign w:val="baseline"/>
                <w:lang w:val="en-US" w:eastAsia="zh-CN"/>
              </w:rPr>
              <w:t>800万元</w:t>
            </w:r>
          </w:p>
        </w:tc>
        <w:tc>
          <w:tcPr>
            <w:tcW w:w="1545" w:type="dxa"/>
            <w:vAlign w:val="center"/>
          </w:tcPr>
          <w:p>
            <w:pPr>
              <w:jc w:val="center"/>
              <w:rPr>
                <w:rFonts w:hint="default" w:eastAsiaTheme="minorEastAsia"/>
                <w:vertAlign w:val="baseline"/>
                <w:lang w:val="en-US" w:eastAsia="zh-CN"/>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default" w:eastAsiaTheme="minorEastAsia"/>
                <w:vertAlign w:val="baseline"/>
                <w:lang w:val="en-US" w:eastAsia="zh-CN"/>
              </w:rPr>
            </w:pPr>
            <w:r>
              <w:rPr>
                <w:rFonts w:hint="eastAsia"/>
                <w:vertAlign w:val="baseline"/>
                <w:lang w:val="en-US" w:eastAsia="zh-CN"/>
              </w:rPr>
              <w:t>孙利军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vertAlign w:val="baseline"/>
                <w:lang w:val="en-US" w:eastAsia="zh-CN"/>
              </w:rPr>
            </w:pPr>
            <w:r>
              <w:rPr>
                <w:rFonts w:hint="eastAsia"/>
                <w:vertAlign w:val="baseline"/>
                <w:lang w:val="en-US" w:eastAsia="zh-CN"/>
              </w:rPr>
              <w:t>2</w:t>
            </w:r>
          </w:p>
        </w:tc>
        <w:tc>
          <w:tcPr>
            <w:tcW w:w="3285" w:type="dxa"/>
            <w:vAlign w:val="center"/>
          </w:tcPr>
          <w:p>
            <w:pPr>
              <w:jc w:val="center"/>
              <w:rPr>
                <w:rFonts w:hint="eastAsia"/>
                <w:vertAlign w:val="baseline"/>
                <w:lang w:eastAsia="zh-CN"/>
              </w:rPr>
            </w:pPr>
            <w:r>
              <w:rPr>
                <w:rFonts w:hint="eastAsia"/>
                <w:vertAlign w:val="baseline"/>
                <w:lang w:eastAsia="zh-CN"/>
              </w:rPr>
              <w:t>内蒙古北疆能源物资发展有限责任</w:t>
            </w:r>
            <w:r>
              <w:rPr>
                <w:rFonts w:hint="eastAsia"/>
                <w:vertAlign w:val="baseline"/>
                <w:lang w:val="en-US" w:eastAsia="zh-CN"/>
              </w:rPr>
              <w:t>公司正蓝旗桑根达来南</w:t>
            </w:r>
            <w:r>
              <w:rPr>
                <w:rFonts w:hint="eastAsia"/>
                <w:vertAlign w:val="baseline"/>
                <w:lang w:eastAsia="zh-CN"/>
              </w:rPr>
              <w:t>加油</w:t>
            </w:r>
            <w:r>
              <w:rPr>
                <w:rFonts w:hint="eastAsia"/>
                <w:vertAlign w:val="baseline"/>
                <w:lang w:val="en-US" w:eastAsia="zh-CN"/>
              </w:rPr>
              <w:t>加气</w:t>
            </w:r>
            <w:r>
              <w:rPr>
                <w:rFonts w:hint="eastAsia"/>
                <w:vertAlign w:val="baseline"/>
                <w:lang w:eastAsia="zh-CN"/>
              </w:rPr>
              <w:t>站</w:t>
            </w:r>
          </w:p>
        </w:tc>
        <w:tc>
          <w:tcPr>
            <w:tcW w:w="780" w:type="dxa"/>
            <w:vAlign w:val="center"/>
          </w:tcPr>
          <w:p>
            <w:pPr>
              <w:jc w:val="center"/>
              <w:rPr>
                <w:rFonts w:hint="eastAsia"/>
                <w:vertAlign w:val="baseline"/>
                <w:lang w:val="en-US" w:eastAsia="zh-CN"/>
              </w:rPr>
            </w:pPr>
            <w:r>
              <w:rPr>
                <w:rFonts w:hint="eastAsia"/>
                <w:vertAlign w:val="baseline"/>
                <w:lang w:val="en-US" w:eastAsia="zh-CN"/>
              </w:rPr>
              <w:t>高速公路</w:t>
            </w:r>
          </w:p>
        </w:tc>
        <w:tc>
          <w:tcPr>
            <w:tcW w:w="780" w:type="dxa"/>
            <w:vAlign w:val="center"/>
          </w:tcPr>
          <w:p>
            <w:pPr>
              <w:bidi w:val="0"/>
              <w:jc w:val="both"/>
              <w:rPr>
                <w:rFonts w:hint="eastAsia"/>
                <w:lang w:val="en-US" w:eastAsia="zh-CN"/>
              </w:rPr>
            </w:pPr>
            <w:r>
              <w:rPr>
                <w:rFonts w:hint="eastAsia"/>
                <w:lang w:val="en-US" w:eastAsia="zh-CN"/>
              </w:rPr>
              <w:t>一级</w:t>
            </w:r>
          </w:p>
        </w:tc>
        <w:tc>
          <w:tcPr>
            <w:tcW w:w="4065" w:type="dxa"/>
            <w:vAlign w:val="center"/>
          </w:tcPr>
          <w:p>
            <w:pPr>
              <w:jc w:val="center"/>
              <w:rPr>
                <w:rFonts w:hint="eastAsia"/>
                <w:vertAlign w:val="baseline"/>
                <w:lang w:val="en-US" w:eastAsia="zh-CN"/>
              </w:rPr>
            </w:pPr>
            <w:r>
              <w:rPr>
                <w:rFonts w:hint="eastAsia"/>
                <w:vertAlign w:val="baseline"/>
                <w:lang w:val="en-US" w:eastAsia="zh-CN"/>
              </w:rPr>
              <w:t>正蓝旗二广高速集宁至阿荣旗联络线安业至公主埂段桑根达来服务区南区</w:t>
            </w:r>
          </w:p>
        </w:tc>
        <w:tc>
          <w:tcPr>
            <w:tcW w:w="1455" w:type="dxa"/>
            <w:vAlign w:val="center"/>
          </w:tcPr>
          <w:p>
            <w:pPr>
              <w:jc w:val="center"/>
              <w:rPr>
                <w:rFonts w:hint="eastAsia"/>
                <w:vertAlign w:val="baseline"/>
                <w:lang w:val="en-US" w:eastAsia="zh-CN"/>
              </w:rPr>
            </w:pPr>
            <w:r>
              <w:rPr>
                <w:rFonts w:hint="eastAsia"/>
                <w:vertAlign w:val="baseline"/>
                <w:lang w:val="en-US" w:eastAsia="zh-CN"/>
              </w:rPr>
              <w:t>800万元</w:t>
            </w:r>
          </w:p>
        </w:tc>
        <w:tc>
          <w:tcPr>
            <w:tcW w:w="1545" w:type="dxa"/>
            <w:vAlign w:val="center"/>
          </w:tcPr>
          <w:p>
            <w:pPr>
              <w:jc w:val="center"/>
              <w:rPr>
                <w:rFonts w:hint="eastAsia"/>
                <w:vertAlign w:val="baseline"/>
                <w:lang w:val="en-US" w:eastAsia="zh-CN"/>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vertAlign w:val="baseline"/>
                <w:lang w:val="en-US" w:eastAsia="zh-CN"/>
              </w:rPr>
            </w:pPr>
            <w:r>
              <w:rPr>
                <w:rFonts w:hint="eastAsia"/>
                <w:vertAlign w:val="baseline"/>
                <w:lang w:val="en-US" w:eastAsia="zh-CN"/>
              </w:rPr>
              <w:t>孙利军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vertAlign w:val="baseline"/>
                <w:lang w:val="en-US" w:eastAsia="zh-CN"/>
              </w:rPr>
            </w:pPr>
            <w:r>
              <w:rPr>
                <w:rFonts w:hint="eastAsia"/>
                <w:vertAlign w:val="baseline"/>
                <w:lang w:val="en-US" w:eastAsia="zh-CN"/>
              </w:rPr>
              <w:t>3</w:t>
            </w:r>
          </w:p>
        </w:tc>
        <w:tc>
          <w:tcPr>
            <w:tcW w:w="3285" w:type="dxa"/>
            <w:vAlign w:val="center"/>
          </w:tcPr>
          <w:p>
            <w:pPr>
              <w:jc w:val="center"/>
              <w:rPr>
                <w:rFonts w:hint="eastAsia"/>
                <w:vertAlign w:val="baseline"/>
                <w:lang w:eastAsia="zh-CN"/>
              </w:rPr>
            </w:pPr>
            <w:r>
              <w:rPr>
                <w:rFonts w:hint="eastAsia"/>
                <w:vertAlign w:val="baseline"/>
                <w:lang w:eastAsia="zh-CN"/>
              </w:rPr>
              <w:t>内蒙古北疆能源物资发展有限责任</w:t>
            </w:r>
            <w:r>
              <w:rPr>
                <w:rFonts w:hint="eastAsia"/>
                <w:vertAlign w:val="baseline"/>
                <w:lang w:val="en-US" w:eastAsia="zh-CN"/>
              </w:rPr>
              <w:t>公司正蓝旗那仁塔拉南</w:t>
            </w:r>
            <w:r>
              <w:rPr>
                <w:rFonts w:hint="eastAsia"/>
                <w:vertAlign w:val="baseline"/>
                <w:lang w:eastAsia="zh-CN"/>
              </w:rPr>
              <w:t>加油站</w:t>
            </w:r>
          </w:p>
        </w:tc>
        <w:tc>
          <w:tcPr>
            <w:tcW w:w="780" w:type="dxa"/>
            <w:vAlign w:val="center"/>
          </w:tcPr>
          <w:p>
            <w:pPr>
              <w:jc w:val="center"/>
              <w:rPr>
                <w:rFonts w:hint="eastAsia"/>
                <w:vertAlign w:val="baseline"/>
                <w:lang w:val="en-US" w:eastAsia="zh-CN"/>
              </w:rPr>
            </w:pPr>
            <w:r>
              <w:rPr>
                <w:rFonts w:hint="eastAsia"/>
                <w:vertAlign w:val="baseline"/>
                <w:lang w:val="en-US" w:eastAsia="zh-CN"/>
              </w:rPr>
              <w:t>高速公路</w:t>
            </w:r>
          </w:p>
        </w:tc>
        <w:tc>
          <w:tcPr>
            <w:tcW w:w="780" w:type="dxa"/>
            <w:vAlign w:val="center"/>
          </w:tcPr>
          <w:p>
            <w:pPr>
              <w:bidi w:val="0"/>
              <w:jc w:val="both"/>
              <w:rPr>
                <w:rFonts w:hint="eastAsia"/>
                <w:lang w:val="en-US" w:eastAsia="zh-CN"/>
              </w:rPr>
            </w:pPr>
            <w:r>
              <w:rPr>
                <w:rFonts w:hint="eastAsia"/>
                <w:lang w:val="en-US" w:eastAsia="zh-CN"/>
              </w:rPr>
              <w:t>一级</w:t>
            </w:r>
          </w:p>
        </w:tc>
        <w:tc>
          <w:tcPr>
            <w:tcW w:w="4065" w:type="dxa"/>
            <w:vAlign w:val="center"/>
          </w:tcPr>
          <w:p>
            <w:pPr>
              <w:jc w:val="center"/>
              <w:rPr>
                <w:rFonts w:hint="eastAsia"/>
                <w:vertAlign w:val="baseline"/>
                <w:lang w:val="en-US" w:eastAsia="zh-CN"/>
              </w:rPr>
            </w:pPr>
            <w:r>
              <w:rPr>
                <w:rFonts w:hint="eastAsia"/>
                <w:vertAlign w:val="baseline"/>
                <w:lang w:val="en-US" w:eastAsia="zh-CN"/>
              </w:rPr>
              <w:t>正蓝旗二广高速集宁至阿荣旗联络线安业至公主埂段那仁塔拉服务区南区</w:t>
            </w:r>
          </w:p>
        </w:tc>
        <w:tc>
          <w:tcPr>
            <w:tcW w:w="1455" w:type="dxa"/>
            <w:vAlign w:val="center"/>
          </w:tcPr>
          <w:p>
            <w:pPr>
              <w:jc w:val="center"/>
              <w:rPr>
                <w:rFonts w:hint="default"/>
                <w:vertAlign w:val="baseline"/>
                <w:lang w:val="en-US" w:eastAsia="zh-CN"/>
              </w:rPr>
            </w:pPr>
            <w:r>
              <w:rPr>
                <w:rFonts w:hint="eastAsia"/>
                <w:vertAlign w:val="baseline"/>
                <w:lang w:val="en-US" w:eastAsia="zh-CN"/>
              </w:rPr>
              <w:t>500万元</w:t>
            </w:r>
          </w:p>
        </w:tc>
        <w:tc>
          <w:tcPr>
            <w:tcW w:w="1545" w:type="dxa"/>
            <w:vAlign w:val="center"/>
          </w:tcPr>
          <w:p>
            <w:pPr>
              <w:jc w:val="center"/>
              <w:rPr>
                <w:rFonts w:hint="eastAsia"/>
                <w:vertAlign w:val="baseline"/>
                <w:lang w:val="en-US" w:eastAsia="zh-CN"/>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vertAlign w:val="baseline"/>
                <w:lang w:val="en-US" w:eastAsia="zh-CN"/>
              </w:rPr>
            </w:pPr>
            <w:r>
              <w:rPr>
                <w:rFonts w:hint="eastAsia"/>
                <w:vertAlign w:val="baseline"/>
                <w:lang w:val="en-US" w:eastAsia="zh-CN"/>
              </w:rPr>
              <w:t>孙利军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vertAlign w:val="baseline"/>
                <w:lang w:val="en-US" w:eastAsia="zh-CN"/>
              </w:rPr>
            </w:pPr>
            <w:r>
              <w:rPr>
                <w:rFonts w:hint="eastAsia"/>
                <w:vertAlign w:val="baseline"/>
                <w:lang w:val="en-US" w:eastAsia="zh-CN"/>
              </w:rPr>
              <w:t>4</w:t>
            </w:r>
          </w:p>
        </w:tc>
        <w:tc>
          <w:tcPr>
            <w:tcW w:w="3285" w:type="dxa"/>
            <w:vAlign w:val="center"/>
          </w:tcPr>
          <w:p>
            <w:pPr>
              <w:jc w:val="center"/>
              <w:rPr>
                <w:rFonts w:hint="eastAsia"/>
                <w:vertAlign w:val="baseline"/>
                <w:lang w:eastAsia="zh-CN"/>
              </w:rPr>
            </w:pPr>
            <w:r>
              <w:rPr>
                <w:rFonts w:hint="eastAsia"/>
                <w:vertAlign w:val="baseline"/>
                <w:lang w:eastAsia="zh-CN"/>
              </w:rPr>
              <w:t>内蒙古北疆能源物资发展有限责任</w:t>
            </w:r>
            <w:r>
              <w:rPr>
                <w:rFonts w:hint="eastAsia"/>
                <w:vertAlign w:val="baseline"/>
                <w:lang w:val="en-US" w:eastAsia="zh-CN"/>
              </w:rPr>
              <w:t>公司正蓝旗那仁塔拉北</w:t>
            </w:r>
            <w:r>
              <w:rPr>
                <w:rFonts w:hint="eastAsia"/>
                <w:vertAlign w:val="baseline"/>
                <w:lang w:eastAsia="zh-CN"/>
              </w:rPr>
              <w:t>加油站</w:t>
            </w:r>
          </w:p>
        </w:tc>
        <w:tc>
          <w:tcPr>
            <w:tcW w:w="780" w:type="dxa"/>
            <w:vAlign w:val="center"/>
          </w:tcPr>
          <w:p>
            <w:pPr>
              <w:jc w:val="center"/>
              <w:rPr>
                <w:rFonts w:hint="eastAsia"/>
                <w:vertAlign w:val="baseline"/>
                <w:lang w:val="en-US" w:eastAsia="zh-CN"/>
              </w:rPr>
            </w:pPr>
            <w:r>
              <w:rPr>
                <w:rFonts w:hint="eastAsia"/>
                <w:vertAlign w:val="baseline"/>
                <w:lang w:val="en-US" w:eastAsia="zh-CN"/>
              </w:rPr>
              <w:t>高速公路</w:t>
            </w:r>
          </w:p>
        </w:tc>
        <w:tc>
          <w:tcPr>
            <w:tcW w:w="780" w:type="dxa"/>
            <w:vAlign w:val="center"/>
          </w:tcPr>
          <w:p>
            <w:pPr>
              <w:bidi w:val="0"/>
              <w:jc w:val="both"/>
              <w:rPr>
                <w:rFonts w:hint="eastAsia"/>
                <w:lang w:val="en-US" w:eastAsia="zh-CN"/>
              </w:rPr>
            </w:pPr>
            <w:r>
              <w:rPr>
                <w:rFonts w:hint="eastAsia"/>
                <w:lang w:val="en-US" w:eastAsia="zh-CN"/>
              </w:rPr>
              <w:t>一级</w:t>
            </w:r>
          </w:p>
        </w:tc>
        <w:tc>
          <w:tcPr>
            <w:tcW w:w="4065" w:type="dxa"/>
            <w:vAlign w:val="center"/>
          </w:tcPr>
          <w:p>
            <w:pPr>
              <w:jc w:val="center"/>
              <w:rPr>
                <w:rFonts w:hint="default"/>
                <w:vertAlign w:val="baseline"/>
                <w:lang w:val="en-US" w:eastAsia="zh-CN"/>
              </w:rPr>
            </w:pPr>
            <w:r>
              <w:rPr>
                <w:rFonts w:hint="eastAsia"/>
                <w:vertAlign w:val="baseline"/>
                <w:lang w:val="en-US" w:eastAsia="zh-CN"/>
              </w:rPr>
              <w:t>正蓝旗二广高速集宁至阿荣旗联络线安业至公主埂段那仁塔拉服务区北区</w:t>
            </w:r>
          </w:p>
        </w:tc>
        <w:tc>
          <w:tcPr>
            <w:tcW w:w="1455" w:type="dxa"/>
            <w:vAlign w:val="center"/>
          </w:tcPr>
          <w:p>
            <w:pPr>
              <w:jc w:val="center"/>
              <w:rPr>
                <w:rFonts w:hint="eastAsia"/>
                <w:vertAlign w:val="baseline"/>
                <w:lang w:val="en-US" w:eastAsia="zh-CN"/>
              </w:rPr>
            </w:pPr>
            <w:r>
              <w:rPr>
                <w:rFonts w:hint="eastAsia"/>
                <w:vertAlign w:val="baseline"/>
                <w:lang w:val="en-US" w:eastAsia="zh-CN"/>
              </w:rPr>
              <w:t>500万元</w:t>
            </w:r>
          </w:p>
        </w:tc>
        <w:tc>
          <w:tcPr>
            <w:tcW w:w="1545" w:type="dxa"/>
            <w:vAlign w:val="center"/>
          </w:tcPr>
          <w:p>
            <w:pPr>
              <w:jc w:val="center"/>
              <w:rPr>
                <w:rFonts w:hint="eastAsia"/>
                <w:vertAlign w:val="baseline"/>
                <w:lang w:val="en-US" w:eastAsia="zh-CN"/>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vertAlign w:val="baseline"/>
                <w:lang w:val="en-US" w:eastAsia="zh-CN"/>
              </w:rPr>
            </w:pPr>
            <w:r>
              <w:rPr>
                <w:rFonts w:hint="eastAsia"/>
                <w:vertAlign w:val="baseline"/>
                <w:lang w:val="en-US" w:eastAsia="zh-CN"/>
              </w:rPr>
              <w:t>孙利军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328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内蒙古北疆能源物资发展有限责任</w:t>
            </w:r>
            <w:r>
              <w:rPr>
                <w:rFonts w:hint="eastAsia"/>
                <w:vertAlign w:val="baseline"/>
                <w:lang w:val="en-US" w:eastAsia="zh-CN"/>
              </w:rPr>
              <w:t>公司正镶白旗北</w:t>
            </w:r>
            <w:r>
              <w:rPr>
                <w:rFonts w:hint="eastAsia"/>
                <w:vertAlign w:val="baseline"/>
                <w:lang w:eastAsia="zh-CN"/>
              </w:rPr>
              <w:t>加油站</w:t>
            </w:r>
          </w:p>
        </w:tc>
        <w:tc>
          <w:tcPr>
            <w:tcW w:w="78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高速公路</w:t>
            </w:r>
          </w:p>
        </w:tc>
        <w:tc>
          <w:tcPr>
            <w:tcW w:w="780" w:type="dxa"/>
            <w:vAlign w:val="center"/>
          </w:tcPr>
          <w:p>
            <w:pPr>
              <w:bidi w:val="0"/>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一级</w:t>
            </w:r>
          </w:p>
        </w:tc>
        <w:tc>
          <w:tcPr>
            <w:tcW w:w="406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正镶白旗二广高速集宁至阿荣旗联络线安业至公主梗段正镶白旗服务区北区</w:t>
            </w:r>
          </w:p>
        </w:tc>
        <w:tc>
          <w:tcPr>
            <w:tcW w:w="145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500万元</w:t>
            </w:r>
          </w:p>
        </w:tc>
        <w:tc>
          <w:tcPr>
            <w:tcW w:w="154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刘海霞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328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内蒙古北疆能源物资发展有限责任</w:t>
            </w:r>
            <w:r>
              <w:rPr>
                <w:rFonts w:hint="eastAsia"/>
                <w:vertAlign w:val="baseline"/>
                <w:lang w:val="en-US" w:eastAsia="zh-CN"/>
              </w:rPr>
              <w:t>公司正镶白旗南</w:t>
            </w:r>
            <w:r>
              <w:rPr>
                <w:rFonts w:hint="eastAsia"/>
                <w:vertAlign w:val="baseline"/>
                <w:lang w:eastAsia="zh-CN"/>
              </w:rPr>
              <w:t>加油站</w:t>
            </w:r>
          </w:p>
        </w:tc>
        <w:tc>
          <w:tcPr>
            <w:tcW w:w="78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高速公路</w:t>
            </w:r>
          </w:p>
        </w:tc>
        <w:tc>
          <w:tcPr>
            <w:tcW w:w="780" w:type="dxa"/>
            <w:vAlign w:val="center"/>
          </w:tcPr>
          <w:p>
            <w:pPr>
              <w:bidi w:val="0"/>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一级</w:t>
            </w:r>
          </w:p>
        </w:tc>
        <w:tc>
          <w:tcPr>
            <w:tcW w:w="406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正镶白旗二广高速集宁至阿荣旗联络线安业至公主梗段正镶白旗服务区南区</w:t>
            </w:r>
          </w:p>
        </w:tc>
        <w:tc>
          <w:tcPr>
            <w:tcW w:w="145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500万元</w:t>
            </w:r>
          </w:p>
        </w:tc>
        <w:tc>
          <w:tcPr>
            <w:tcW w:w="154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刘海霞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328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内蒙古北疆能源物资发展有限责任</w:t>
            </w:r>
            <w:r>
              <w:rPr>
                <w:rFonts w:hint="eastAsia"/>
                <w:vertAlign w:val="baseline"/>
                <w:lang w:val="en-US" w:eastAsia="zh-CN"/>
              </w:rPr>
              <w:t>公司宝拉根陶海北</w:t>
            </w:r>
            <w:r>
              <w:rPr>
                <w:rFonts w:hint="eastAsia"/>
                <w:vertAlign w:val="baseline"/>
                <w:lang w:eastAsia="zh-CN"/>
              </w:rPr>
              <w:t>加油站</w:t>
            </w:r>
          </w:p>
        </w:tc>
        <w:tc>
          <w:tcPr>
            <w:tcW w:w="78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高速公路</w:t>
            </w:r>
          </w:p>
        </w:tc>
        <w:tc>
          <w:tcPr>
            <w:tcW w:w="780" w:type="dxa"/>
            <w:vAlign w:val="center"/>
          </w:tcPr>
          <w:p>
            <w:pPr>
              <w:bidi w:val="0"/>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一级</w:t>
            </w:r>
          </w:p>
        </w:tc>
        <w:tc>
          <w:tcPr>
            <w:tcW w:w="406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正镶白旗二广高速集宁至阿荣旗联络线安业至公主梗段宝拉根陶海服务区北区</w:t>
            </w:r>
          </w:p>
        </w:tc>
        <w:tc>
          <w:tcPr>
            <w:tcW w:w="145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500万元</w:t>
            </w:r>
          </w:p>
        </w:tc>
        <w:tc>
          <w:tcPr>
            <w:tcW w:w="154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328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内蒙古北疆能源物资发展有限责任</w:t>
            </w:r>
            <w:r>
              <w:rPr>
                <w:rFonts w:hint="eastAsia"/>
                <w:vertAlign w:val="baseline"/>
                <w:lang w:val="en-US" w:eastAsia="zh-CN"/>
              </w:rPr>
              <w:t>公司宝拉根陶海南</w:t>
            </w:r>
            <w:r>
              <w:rPr>
                <w:rFonts w:hint="eastAsia"/>
                <w:vertAlign w:val="baseline"/>
                <w:lang w:eastAsia="zh-CN"/>
              </w:rPr>
              <w:t>加油站</w:t>
            </w:r>
          </w:p>
        </w:tc>
        <w:tc>
          <w:tcPr>
            <w:tcW w:w="78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高速公路</w:t>
            </w:r>
          </w:p>
        </w:tc>
        <w:tc>
          <w:tcPr>
            <w:tcW w:w="780" w:type="dxa"/>
            <w:vAlign w:val="center"/>
          </w:tcPr>
          <w:p>
            <w:pPr>
              <w:bidi w:val="0"/>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一级</w:t>
            </w:r>
          </w:p>
        </w:tc>
        <w:tc>
          <w:tcPr>
            <w:tcW w:w="406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正镶白旗二广高速集宁至阿荣旗联络线安业至公主梗段宝拉根陶海服务区南区</w:t>
            </w:r>
          </w:p>
        </w:tc>
        <w:tc>
          <w:tcPr>
            <w:tcW w:w="145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500万元</w:t>
            </w:r>
          </w:p>
        </w:tc>
        <w:tc>
          <w:tcPr>
            <w:tcW w:w="154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4500</w:t>
            </w:r>
            <w:r>
              <w:rPr>
                <w:rFonts w:hint="eastAsia" w:ascii="仿宋" w:hAnsi="仿宋" w:eastAsia="仿宋" w:cs="仿宋"/>
                <w:b w:val="0"/>
                <w:bCs w:val="0"/>
                <w:sz w:val="24"/>
                <w:szCs w:val="24"/>
                <w:vertAlign w:val="baseline"/>
                <w:lang w:val="en-US" w:eastAsia="zh-CN"/>
              </w:rPr>
              <w:t>平方米</w:t>
            </w:r>
          </w:p>
        </w:tc>
        <w:tc>
          <w:tcPr>
            <w:tcW w:w="1620"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海波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DBjYzA0YWJiMmM0MTgxOGUzYmJhNDM3OWI3NGEifQ=="/>
  </w:docVars>
  <w:rsids>
    <w:rsidRoot w:val="3B513483"/>
    <w:rsid w:val="039A32CE"/>
    <w:rsid w:val="085C5A63"/>
    <w:rsid w:val="13620E0E"/>
    <w:rsid w:val="1B6A766D"/>
    <w:rsid w:val="335C6B0B"/>
    <w:rsid w:val="3B513483"/>
    <w:rsid w:val="3BB53567"/>
    <w:rsid w:val="402A7B07"/>
    <w:rsid w:val="49213E0B"/>
    <w:rsid w:val="52D11D42"/>
    <w:rsid w:val="535D7F7D"/>
    <w:rsid w:val="5FF64410"/>
    <w:rsid w:val="62AE259B"/>
    <w:rsid w:val="70A74DB3"/>
    <w:rsid w:val="73453E07"/>
    <w:rsid w:val="76660DEC"/>
    <w:rsid w:val="76AB4E46"/>
    <w:rsid w:val="A7EDFEE2"/>
    <w:rsid w:val="D59F247E"/>
    <w:rsid w:val="EFEB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214</Characters>
  <Lines>0</Lines>
  <Paragraphs>0</Paragraphs>
  <TotalTime>1</TotalTime>
  <ScaleCrop>false</ScaleCrop>
  <LinksUpToDate>false</LinksUpToDate>
  <CharactersWithSpaces>218</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2020-07-31T06:13:00Z</dcterms:created>
  <dc:creator>蛰伏</dc:creator>
  <cp:lastModifiedBy>inspur</cp:lastModifiedBy>
  <cp:lastPrinted>2023-11-01T17:18:00Z</cp:lastPrinted>
  <dcterms:modified xsi:type="dcterms:W3CDTF">2023-11-28T14:55:21Z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CB17CAAB780B4989BCB9F58AB76185D9_13</vt:lpwstr>
  </property>
</Properties>
</file>