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方正小标宋简体" w:hAnsi="方正小标宋简体" w:eastAsia="方正小标宋简体" w:cs="方正小标宋简体"/>
          <w:sz w:val="36"/>
          <w:szCs w:val="36"/>
          <w:lang w:val="en-US" w:eastAsia="zh-CN"/>
        </w:rPr>
        <w:t>锡林郭勒盟商务局2021年度“双随机、一公开”随机抽查工作计划表（全年总计划）</w:t>
      </w:r>
    </w:p>
    <w:tbl>
      <w:tblPr>
        <w:tblStyle w:val="4"/>
        <w:tblW w:w="14734" w:type="dxa"/>
        <w:tblInd w:w="-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196"/>
        <w:gridCol w:w="2364"/>
        <w:gridCol w:w="4514"/>
        <w:gridCol w:w="1154"/>
        <w:gridCol w:w="1168"/>
        <w:gridCol w:w="1182"/>
        <w:gridCol w:w="1182"/>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7"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任务序号</w:t>
            </w:r>
          </w:p>
        </w:tc>
        <w:tc>
          <w:tcPr>
            <w:tcW w:w="119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部门名称</w:t>
            </w:r>
          </w:p>
        </w:tc>
        <w:tc>
          <w:tcPr>
            <w:tcW w:w="23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抽查事项</w:t>
            </w:r>
          </w:p>
        </w:tc>
        <w:tc>
          <w:tcPr>
            <w:tcW w:w="451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抽查依据</w:t>
            </w:r>
          </w:p>
        </w:tc>
        <w:tc>
          <w:tcPr>
            <w:tcW w:w="115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抽查频次</w:t>
            </w:r>
          </w:p>
        </w:tc>
        <w:tc>
          <w:tcPr>
            <w:tcW w:w="116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抽查对象比例</w:t>
            </w:r>
          </w:p>
        </w:tc>
        <w:tc>
          <w:tcPr>
            <w:tcW w:w="118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执法人员</w:t>
            </w:r>
          </w:p>
        </w:tc>
        <w:tc>
          <w:tcPr>
            <w:tcW w:w="118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抽查时间</w:t>
            </w:r>
          </w:p>
        </w:tc>
        <w:tc>
          <w:tcPr>
            <w:tcW w:w="1177"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企业库</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7"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1</w:t>
            </w:r>
          </w:p>
        </w:tc>
        <w:tc>
          <w:tcPr>
            <w:tcW w:w="1196"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锡林郭勒盟商务局</w:t>
            </w:r>
          </w:p>
        </w:tc>
        <w:tc>
          <w:tcPr>
            <w:tcW w:w="2364" w:type="dxa"/>
            <w:vAlign w:val="center"/>
          </w:tcPr>
          <w:p>
            <w:pPr>
              <w:jc w:val="left"/>
              <w:rPr>
                <w:rFonts w:hint="default"/>
                <w:sz w:val="18"/>
                <w:szCs w:val="18"/>
                <w:vertAlign w:val="baseline"/>
                <w:lang w:val="en-US" w:eastAsia="zh-CN"/>
              </w:rPr>
            </w:pPr>
            <w:r>
              <w:rPr>
                <w:rFonts w:hint="default"/>
                <w:sz w:val="18"/>
                <w:szCs w:val="18"/>
                <w:vertAlign w:val="baseline"/>
                <w:lang w:val="en-US" w:eastAsia="zh-CN"/>
              </w:rPr>
              <w:t>对成品油</w:t>
            </w:r>
            <w:r>
              <w:rPr>
                <w:rFonts w:hint="eastAsia"/>
                <w:sz w:val="18"/>
                <w:szCs w:val="18"/>
                <w:vertAlign w:val="baseline"/>
                <w:lang w:val="en-US" w:eastAsia="zh-CN"/>
              </w:rPr>
              <w:t>零售</w:t>
            </w:r>
            <w:bookmarkStart w:id="0" w:name="_GoBack"/>
            <w:bookmarkEnd w:id="0"/>
            <w:r>
              <w:rPr>
                <w:rFonts w:hint="default"/>
                <w:sz w:val="18"/>
                <w:szCs w:val="18"/>
                <w:vertAlign w:val="baseline"/>
                <w:lang w:val="en-US" w:eastAsia="zh-CN"/>
              </w:rPr>
              <w:t>企业进行抽查</w:t>
            </w:r>
          </w:p>
        </w:tc>
        <w:tc>
          <w:tcPr>
            <w:tcW w:w="4514" w:type="dxa"/>
            <w:vAlign w:val="center"/>
          </w:tcPr>
          <w:p>
            <w:pPr>
              <w:jc w:val="left"/>
              <w:rPr>
                <w:rFonts w:hint="default"/>
                <w:sz w:val="18"/>
                <w:szCs w:val="18"/>
                <w:vertAlign w:val="baseline"/>
                <w:lang w:val="en-US" w:eastAsia="zh-CN"/>
              </w:rPr>
            </w:pPr>
            <w:r>
              <w:rPr>
                <w:rFonts w:hint="default"/>
                <w:sz w:val="18"/>
                <w:szCs w:val="18"/>
                <w:vertAlign w:val="baseline"/>
                <w:lang w:val="en-US" w:eastAsia="zh-CN"/>
              </w:rPr>
              <w:t>《成品油市场管理办法》</w:t>
            </w:r>
            <w:r>
              <w:rPr>
                <w:rFonts w:hint="eastAsia"/>
                <w:sz w:val="18"/>
                <w:szCs w:val="18"/>
                <w:vertAlign w:val="baseline"/>
                <w:lang w:val="en-US" w:eastAsia="zh-CN"/>
              </w:rPr>
              <w:t>（</w:t>
            </w:r>
            <w:r>
              <w:rPr>
                <w:rFonts w:hint="default"/>
                <w:sz w:val="18"/>
                <w:szCs w:val="18"/>
                <w:vertAlign w:val="baseline"/>
                <w:lang w:val="en-US" w:eastAsia="zh-CN"/>
              </w:rPr>
              <w:t>商务部令2006年第23号</w:t>
            </w:r>
            <w:r>
              <w:rPr>
                <w:rFonts w:hint="eastAsia"/>
                <w:sz w:val="18"/>
                <w:szCs w:val="18"/>
                <w:vertAlign w:val="baseline"/>
                <w:lang w:val="en-US" w:eastAsia="zh-CN"/>
              </w:rPr>
              <w:t>）</w:t>
            </w:r>
            <w:r>
              <w:rPr>
                <w:rFonts w:hint="default"/>
                <w:sz w:val="18"/>
                <w:szCs w:val="18"/>
                <w:vertAlign w:val="baseline"/>
                <w:lang w:val="en-US" w:eastAsia="zh-CN"/>
              </w:rPr>
              <w:t>第三十条 各级人民政府商务主管部门应当加强对本辖区成品油市场的监督检查。</w:t>
            </w:r>
          </w:p>
        </w:tc>
        <w:tc>
          <w:tcPr>
            <w:tcW w:w="1154"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3-5次</w:t>
            </w:r>
          </w:p>
        </w:tc>
        <w:tc>
          <w:tcPr>
            <w:tcW w:w="1168"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5%（13家）</w:t>
            </w:r>
          </w:p>
        </w:tc>
        <w:tc>
          <w:tcPr>
            <w:tcW w:w="1182" w:type="dxa"/>
            <w:vAlign w:val="center"/>
          </w:tcPr>
          <w:p>
            <w:pPr>
              <w:jc w:val="center"/>
              <w:rPr>
                <w:rFonts w:hint="default"/>
                <w:sz w:val="18"/>
                <w:szCs w:val="18"/>
                <w:vertAlign w:val="baseline"/>
                <w:lang w:val="en-US" w:eastAsia="zh-CN"/>
              </w:rPr>
            </w:pPr>
            <w:r>
              <w:rPr>
                <w:rFonts w:hint="default"/>
                <w:sz w:val="18"/>
                <w:szCs w:val="18"/>
                <w:vertAlign w:val="baseline"/>
                <w:lang w:val="en-US" w:eastAsia="zh-CN"/>
              </w:rPr>
              <w:t>不少于2人</w:t>
            </w:r>
          </w:p>
        </w:tc>
        <w:tc>
          <w:tcPr>
            <w:tcW w:w="1182"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3-12月份</w:t>
            </w:r>
          </w:p>
        </w:tc>
        <w:tc>
          <w:tcPr>
            <w:tcW w:w="117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246家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7"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2</w:t>
            </w:r>
          </w:p>
        </w:tc>
        <w:tc>
          <w:tcPr>
            <w:tcW w:w="1196"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锡林郭勒盟商务局</w:t>
            </w:r>
          </w:p>
        </w:tc>
        <w:tc>
          <w:tcPr>
            <w:tcW w:w="2364" w:type="dxa"/>
            <w:textDirection w:val="lrTb"/>
            <w:vAlign w:val="center"/>
          </w:tcPr>
          <w:p>
            <w:pPr>
              <w:jc w:val="left"/>
              <w:rPr>
                <w:rFonts w:hint="default"/>
                <w:sz w:val="18"/>
                <w:szCs w:val="18"/>
                <w:vertAlign w:val="baseline"/>
                <w:lang w:val="en-US" w:eastAsia="zh-CN"/>
              </w:rPr>
            </w:pPr>
            <w:r>
              <w:rPr>
                <w:rFonts w:hint="default"/>
                <w:sz w:val="18"/>
                <w:szCs w:val="18"/>
                <w:vertAlign w:val="baseline"/>
                <w:lang w:val="en-US" w:eastAsia="zh-CN"/>
              </w:rPr>
              <w:t>对单用途商业预付卡的使用与管理情况抽查</w:t>
            </w:r>
          </w:p>
        </w:tc>
        <w:tc>
          <w:tcPr>
            <w:tcW w:w="4514" w:type="dxa"/>
            <w:textDirection w:val="lrTb"/>
            <w:vAlign w:val="center"/>
          </w:tcPr>
          <w:p>
            <w:pPr>
              <w:jc w:val="left"/>
              <w:rPr>
                <w:rFonts w:hint="default"/>
                <w:sz w:val="18"/>
                <w:szCs w:val="18"/>
                <w:vertAlign w:val="baseline"/>
                <w:lang w:val="en-US" w:eastAsia="zh-CN"/>
              </w:rPr>
            </w:pPr>
            <w:r>
              <w:rPr>
                <w:rFonts w:hint="default"/>
                <w:sz w:val="18"/>
                <w:szCs w:val="18"/>
                <w:vertAlign w:val="baseline"/>
                <w:lang w:val="en-US" w:eastAsia="zh-CN"/>
              </w:rPr>
              <w:t>《单用途商业预付卡管理办法（试行）》第三十三条商务部和地方人民政府商务主管部门应对发卡企业和售卡企业的单用途卡业务活动、内部控制和风险状况等进行定期或不定期的现场及非现场检查。发卡企业和售卡企业应配合商务主管部门的检查。</w:t>
            </w:r>
          </w:p>
        </w:tc>
        <w:tc>
          <w:tcPr>
            <w:tcW w:w="1154"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1次</w:t>
            </w:r>
          </w:p>
        </w:tc>
        <w:tc>
          <w:tcPr>
            <w:tcW w:w="1168"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5%（3家）</w:t>
            </w:r>
          </w:p>
        </w:tc>
        <w:tc>
          <w:tcPr>
            <w:tcW w:w="1182" w:type="dxa"/>
            <w:textDirection w:val="lrTb"/>
            <w:vAlign w:val="center"/>
          </w:tcPr>
          <w:p>
            <w:pPr>
              <w:jc w:val="center"/>
              <w:rPr>
                <w:rFonts w:hint="default"/>
                <w:sz w:val="18"/>
                <w:szCs w:val="18"/>
                <w:vertAlign w:val="baseline"/>
                <w:lang w:val="en-US" w:eastAsia="zh-CN"/>
              </w:rPr>
            </w:pPr>
            <w:r>
              <w:rPr>
                <w:rFonts w:hint="default"/>
                <w:sz w:val="18"/>
                <w:szCs w:val="18"/>
                <w:vertAlign w:val="baseline"/>
                <w:lang w:val="en-US" w:eastAsia="zh-CN"/>
              </w:rPr>
              <w:t>不少于2人</w:t>
            </w:r>
          </w:p>
        </w:tc>
        <w:tc>
          <w:tcPr>
            <w:tcW w:w="1182"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3-12月份</w:t>
            </w:r>
          </w:p>
        </w:tc>
        <w:tc>
          <w:tcPr>
            <w:tcW w:w="1177"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42家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7"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3</w:t>
            </w:r>
          </w:p>
        </w:tc>
        <w:tc>
          <w:tcPr>
            <w:tcW w:w="1196"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锡林郭勒盟商务局</w:t>
            </w:r>
          </w:p>
        </w:tc>
        <w:tc>
          <w:tcPr>
            <w:tcW w:w="2364" w:type="dxa"/>
            <w:textDirection w:val="lrTb"/>
            <w:vAlign w:val="center"/>
          </w:tcPr>
          <w:p>
            <w:pPr>
              <w:jc w:val="left"/>
              <w:rPr>
                <w:rFonts w:hint="default"/>
                <w:sz w:val="18"/>
                <w:szCs w:val="18"/>
                <w:vertAlign w:val="baseline"/>
                <w:lang w:val="en-US" w:eastAsia="zh-CN"/>
              </w:rPr>
            </w:pPr>
            <w:r>
              <w:rPr>
                <w:rFonts w:hint="default"/>
                <w:sz w:val="18"/>
                <w:szCs w:val="18"/>
                <w:vertAlign w:val="baseline"/>
                <w:lang w:val="en-US" w:eastAsia="zh-CN"/>
              </w:rPr>
              <w:t>对新车销售市场经营主体进行抽查</w:t>
            </w:r>
          </w:p>
        </w:tc>
        <w:tc>
          <w:tcPr>
            <w:tcW w:w="4514" w:type="dxa"/>
            <w:textDirection w:val="lrTb"/>
            <w:vAlign w:val="center"/>
          </w:tcPr>
          <w:p>
            <w:pPr>
              <w:jc w:val="left"/>
              <w:rPr>
                <w:rFonts w:hint="default"/>
                <w:sz w:val="18"/>
                <w:szCs w:val="18"/>
                <w:vertAlign w:val="baseline"/>
                <w:lang w:val="en-US" w:eastAsia="zh-CN"/>
              </w:rPr>
            </w:pPr>
            <w:r>
              <w:rPr>
                <w:rFonts w:hint="default"/>
                <w:sz w:val="18"/>
                <w:szCs w:val="18"/>
                <w:vertAlign w:val="baseline"/>
                <w:lang w:val="en-US" w:eastAsia="zh-CN"/>
              </w:rPr>
              <w:t>《汽车销售管理办法》（商务部令2017年第1号）第二十九条 县级以上地方商务主管部门应当依据职责，采取“双随机”办法对汽车销售及其相关服务活动实施日常监督检查。</w:t>
            </w:r>
          </w:p>
        </w:tc>
        <w:tc>
          <w:tcPr>
            <w:tcW w:w="1154"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2次</w:t>
            </w:r>
          </w:p>
        </w:tc>
        <w:tc>
          <w:tcPr>
            <w:tcW w:w="1168"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12%（8家）</w:t>
            </w:r>
          </w:p>
        </w:tc>
        <w:tc>
          <w:tcPr>
            <w:tcW w:w="1182" w:type="dxa"/>
            <w:textDirection w:val="lrTb"/>
            <w:vAlign w:val="center"/>
          </w:tcPr>
          <w:p>
            <w:pPr>
              <w:jc w:val="center"/>
              <w:rPr>
                <w:rFonts w:hint="default"/>
                <w:sz w:val="18"/>
                <w:szCs w:val="18"/>
                <w:vertAlign w:val="baseline"/>
                <w:lang w:val="en-US" w:eastAsia="zh-CN"/>
              </w:rPr>
            </w:pPr>
            <w:r>
              <w:rPr>
                <w:rFonts w:hint="default"/>
                <w:sz w:val="18"/>
                <w:szCs w:val="18"/>
                <w:vertAlign w:val="baseline"/>
                <w:lang w:val="en-US" w:eastAsia="zh-CN"/>
              </w:rPr>
              <w:t>不少于2人</w:t>
            </w:r>
          </w:p>
        </w:tc>
        <w:tc>
          <w:tcPr>
            <w:tcW w:w="1182"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3-12月份</w:t>
            </w:r>
          </w:p>
        </w:tc>
        <w:tc>
          <w:tcPr>
            <w:tcW w:w="1177"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64家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7"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4</w:t>
            </w:r>
          </w:p>
        </w:tc>
        <w:tc>
          <w:tcPr>
            <w:tcW w:w="1196"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锡林郭勒盟商务局</w:t>
            </w:r>
          </w:p>
        </w:tc>
        <w:tc>
          <w:tcPr>
            <w:tcW w:w="2364" w:type="dxa"/>
            <w:textDirection w:val="lrTb"/>
            <w:vAlign w:val="center"/>
          </w:tcPr>
          <w:p>
            <w:pPr>
              <w:jc w:val="left"/>
              <w:rPr>
                <w:rFonts w:hint="default"/>
                <w:sz w:val="18"/>
                <w:szCs w:val="18"/>
                <w:vertAlign w:val="baseline"/>
                <w:lang w:val="en-US" w:eastAsia="zh-CN"/>
              </w:rPr>
            </w:pPr>
            <w:r>
              <w:rPr>
                <w:rFonts w:hint="default"/>
                <w:sz w:val="18"/>
                <w:szCs w:val="18"/>
                <w:vertAlign w:val="baseline"/>
                <w:lang w:val="en-US" w:eastAsia="zh-CN"/>
              </w:rPr>
              <w:t>对二手车交易市场、二手车经营主体进行抽查</w:t>
            </w:r>
          </w:p>
        </w:tc>
        <w:tc>
          <w:tcPr>
            <w:tcW w:w="4514" w:type="dxa"/>
            <w:textDirection w:val="lrTb"/>
            <w:vAlign w:val="center"/>
          </w:tcPr>
          <w:p>
            <w:pPr>
              <w:jc w:val="left"/>
              <w:rPr>
                <w:rFonts w:hint="default"/>
                <w:sz w:val="18"/>
                <w:szCs w:val="18"/>
                <w:vertAlign w:val="baseline"/>
                <w:lang w:val="en-US" w:eastAsia="zh-CN"/>
              </w:rPr>
            </w:pPr>
            <w:r>
              <w:rPr>
                <w:rFonts w:hint="default"/>
                <w:sz w:val="18"/>
                <w:szCs w:val="18"/>
                <w:vertAlign w:val="baseline"/>
                <w:lang w:val="en-US" w:eastAsia="zh-CN"/>
              </w:rPr>
              <w:t>《二手车流通管理办法》（商务部、公安部、工商总局、税务总局令〔2005〕第2号）第三十二条 商务主管部门、工商行政管理部门应当在各自的职责范围内采取有效措施，加强对二手车交易市场经营者和经营主体的监督管理，依法查处违法违规行为，维护市场秩序，保护消费者的合法权益。</w:t>
            </w:r>
          </w:p>
        </w:tc>
        <w:tc>
          <w:tcPr>
            <w:tcW w:w="1154"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1-2次</w:t>
            </w:r>
          </w:p>
        </w:tc>
        <w:tc>
          <w:tcPr>
            <w:tcW w:w="1168"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20%（13家）</w:t>
            </w:r>
          </w:p>
        </w:tc>
        <w:tc>
          <w:tcPr>
            <w:tcW w:w="1182" w:type="dxa"/>
            <w:textDirection w:val="lrTb"/>
            <w:vAlign w:val="center"/>
          </w:tcPr>
          <w:p>
            <w:pPr>
              <w:jc w:val="center"/>
              <w:rPr>
                <w:rFonts w:hint="default"/>
                <w:sz w:val="18"/>
                <w:szCs w:val="18"/>
                <w:vertAlign w:val="baseline"/>
                <w:lang w:val="en-US" w:eastAsia="zh-CN"/>
              </w:rPr>
            </w:pPr>
            <w:r>
              <w:rPr>
                <w:rFonts w:hint="default"/>
                <w:sz w:val="18"/>
                <w:szCs w:val="18"/>
                <w:vertAlign w:val="baseline"/>
                <w:lang w:val="en-US" w:eastAsia="zh-CN"/>
              </w:rPr>
              <w:t>不少于2人</w:t>
            </w:r>
          </w:p>
        </w:tc>
        <w:tc>
          <w:tcPr>
            <w:tcW w:w="1182"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3-12月份</w:t>
            </w:r>
          </w:p>
        </w:tc>
        <w:tc>
          <w:tcPr>
            <w:tcW w:w="1177"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63家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7"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1196"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锡林郭勒盟商务局</w:t>
            </w:r>
          </w:p>
        </w:tc>
        <w:tc>
          <w:tcPr>
            <w:tcW w:w="2364" w:type="dxa"/>
            <w:textDirection w:val="lrTb"/>
            <w:vAlign w:val="center"/>
          </w:tcPr>
          <w:p>
            <w:pPr>
              <w:jc w:val="left"/>
              <w:rPr>
                <w:rFonts w:hint="default"/>
                <w:sz w:val="18"/>
                <w:szCs w:val="18"/>
                <w:vertAlign w:val="baseline"/>
                <w:lang w:val="en-US" w:eastAsia="zh-CN"/>
              </w:rPr>
            </w:pPr>
            <w:r>
              <w:rPr>
                <w:rFonts w:hint="default"/>
                <w:sz w:val="18"/>
                <w:szCs w:val="18"/>
                <w:vertAlign w:val="baseline"/>
                <w:lang w:val="en-US" w:eastAsia="zh-CN"/>
              </w:rPr>
              <w:t>对报废机动车回收拆解企业进行抽查</w:t>
            </w:r>
          </w:p>
        </w:tc>
        <w:tc>
          <w:tcPr>
            <w:tcW w:w="4514" w:type="dxa"/>
            <w:textDirection w:val="lrTb"/>
            <w:vAlign w:val="center"/>
          </w:tcPr>
          <w:p>
            <w:pPr>
              <w:jc w:val="left"/>
              <w:rPr>
                <w:rFonts w:hint="default"/>
                <w:sz w:val="18"/>
                <w:szCs w:val="18"/>
                <w:vertAlign w:val="baseline"/>
                <w:lang w:val="en-US" w:eastAsia="zh-CN"/>
              </w:rPr>
            </w:pPr>
            <w:r>
              <w:rPr>
                <w:rFonts w:hint="default"/>
                <w:sz w:val="18"/>
                <w:szCs w:val="18"/>
                <w:vertAlign w:val="baseline"/>
                <w:lang w:val="en-US" w:eastAsia="zh-CN"/>
              </w:rPr>
              <w:t>《报废机动车回收管理办法实施细则》（商务部令2020年第2号）第三十二条 县级以上地方商务主管部门应当会同相关部门，采取“双随机、一公开”方式，对本行政区域内报废机动车回收拆解活动实施日常监督检查。</w:t>
            </w:r>
          </w:p>
        </w:tc>
        <w:tc>
          <w:tcPr>
            <w:tcW w:w="1154"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1次</w:t>
            </w:r>
          </w:p>
        </w:tc>
        <w:tc>
          <w:tcPr>
            <w:tcW w:w="1168"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50%（2家）</w:t>
            </w:r>
          </w:p>
        </w:tc>
        <w:tc>
          <w:tcPr>
            <w:tcW w:w="1182" w:type="dxa"/>
            <w:textDirection w:val="lrTb"/>
            <w:vAlign w:val="center"/>
          </w:tcPr>
          <w:p>
            <w:pPr>
              <w:jc w:val="center"/>
              <w:rPr>
                <w:rFonts w:hint="default"/>
                <w:sz w:val="18"/>
                <w:szCs w:val="18"/>
                <w:vertAlign w:val="baseline"/>
                <w:lang w:val="en-US" w:eastAsia="zh-CN"/>
              </w:rPr>
            </w:pPr>
            <w:r>
              <w:rPr>
                <w:rFonts w:hint="default"/>
                <w:sz w:val="18"/>
                <w:szCs w:val="18"/>
                <w:vertAlign w:val="baseline"/>
                <w:lang w:val="en-US" w:eastAsia="zh-CN"/>
              </w:rPr>
              <w:t>不少于2人</w:t>
            </w:r>
          </w:p>
        </w:tc>
        <w:tc>
          <w:tcPr>
            <w:tcW w:w="1182"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3-12月份</w:t>
            </w:r>
          </w:p>
        </w:tc>
        <w:tc>
          <w:tcPr>
            <w:tcW w:w="1177" w:type="dxa"/>
            <w:textDirection w:val="lrTb"/>
            <w:vAlign w:val="center"/>
          </w:tcPr>
          <w:p>
            <w:pPr>
              <w:jc w:val="center"/>
              <w:rPr>
                <w:rFonts w:hint="eastAsia"/>
                <w:sz w:val="18"/>
                <w:szCs w:val="18"/>
                <w:vertAlign w:val="baseline"/>
                <w:lang w:val="en-US" w:eastAsia="zh-CN"/>
              </w:rPr>
            </w:pPr>
            <w:r>
              <w:rPr>
                <w:rFonts w:hint="eastAsia"/>
                <w:sz w:val="18"/>
                <w:szCs w:val="18"/>
                <w:vertAlign w:val="baseline"/>
                <w:lang w:val="en-US" w:eastAsia="zh-CN"/>
              </w:rPr>
              <w:t>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7"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6</w:t>
            </w:r>
          </w:p>
        </w:tc>
        <w:tc>
          <w:tcPr>
            <w:tcW w:w="1196"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锡林郭勒盟商务局</w:t>
            </w:r>
          </w:p>
        </w:tc>
        <w:tc>
          <w:tcPr>
            <w:tcW w:w="2364" w:type="dxa"/>
            <w:vAlign w:val="center"/>
          </w:tcPr>
          <w:p>
            <w:pPr>
              <w:jc w:val="left"/>
              <w:rPr>
                <w:rFonts w:hint="default"/>
                <w:sz w:val="18"/>
                <w:szCs w:val="18"/>
                <w:vertAlign w:val="baseline"/>
                <w:lang w:val="en-US" w:eastAsia="zh-CN"/>
              </w:rPr>
            </w:pPr>
            <w:r>
              <w:rPr>
                <w:rFonts w:hint="default"/>
                <w:sz w:val="18"/>
                <w:szCs w:val="18"/>
                <w:vertAlign w:val="baseline"/>
                <w:lang w:val="en-US" w:eastAsia="zh-CN"/>
              </w:rPr>
              <w:t>外商投资企业</w:t>
            </w:r>
          </w:p>
        </w:tc>
        <w:tc>
          <w:tcPr>
            <w:tcW w:w="4514" w:type="dxa"/>
            <w:vAlign w:val="center"/>
          </w:tcPr>
          <w:p>
            <w:pPr>
              <w:jc w:val="left"/>
              <w:rPr>
                <w:rFonts w:hint="default"/>
                <w:sz w:val="18"/>
                <w:szCs w:val="18"/>
                <w:vertAlign w:val="baseline"/>
                <w:lang w:val="en-US" w:eastAsia="zh-CN"/>
              </w:rPr>
            </w:pPr>
            <w:r>
              <w:rPr>
                <w:rFonts w:hint="default"/>
                <w:sz w:val="18"/>
                <w:szCs w:val="18"/>
                <w:vertAlign w:val="baseline"/>
                <w:lang w:val="en-US" w:eastAsia="zh-CN"/>
              </w:rPr>
              <w:t>《外商投资企业设立及变更备案管理暂行办法》</w:t>
            </w:r>
          </w:p>
        </w:tc>
        <w:tc>
          <w:tcPr>
            <w:tcW w:w="1154"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1次</w:t>
            </w:r>
          </w:p>
        </w:tc>
        <w:tc>
          <w:tcPr>
            <w:tcW w:w="1168"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5%（2家）</w:t>
            </w:r>
          </w:p>
        </w:tc>
        <w:tc>
          <w:tcPr>
            <w:tcW w:w="1182" w:type="dxa"/>
            <w:vAlign w:val="center"/>
          </w:tcPr>
          <w:p>
            <w:pPr>
              <w:jc w:val="center"/>
              <w:rPr>
                <w:rFonts w:hint="default"/>
                <w:sz w:val="18"/>
                <w:szCs w:val="18"/>
                <w:vertAlign w:val="baseline"/>
                <w:lang w:val="en-US" w:eastAsia="zh-CN"/>
              </w:rPr>
            </w:pPr>
            <w:r>
              <w:rPr>
                <w:rFonts w:hint="default"/>
                <w:sz w:val="18"/>
                <w:szCs w:val="18"/>
                <w:vertAlign w:val="baseline"/>
                <w:lang w:val="en-US" w:eastAsia="zh-CN"/>
              </w:rPr>
              <w:t>不少于2人</w:t>
            </w:r>
          </w:p>
        </w:tc>
        <w:tc>
          <w:tcPr>
            <w:tcW w:w="1182"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3-12月份</w:t>
            </w:r>
          </w:p>
        </w:tc>
        <w:tc>
          <w:tcPr>
            <w:tcW w:w="117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7"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7</w:t>
            </w:r>
          </w:p>
        </w:tc>
        <w:tc>
          <w:tcPr>
            <w:tcW w:w="1196"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锡林郭勒盟商务局</w:t>
            </w:r>
          </w:p>
        </w:tc>
        <w:tc>
          <w:tcPr>
            <w:tcW w:w="2364" w:type="dxa"/>
            <w:vAlign w:val="center"/>
          </w:tcPr>
          <w:p>
            <w:pPr>
              <w:jc w:val="left"/>
              <w:rPr>
                <w:rFonts w:hint="default"/>
                <w:sz w:val="18"/>
                <w:szCs w:val="18"/>
                <w:vertAlign w:val="baseline"/>
                <w:lang w:val="en-US" w:eastAsia="zh-CN"/>
              </w:rPr>
            </w:pPr>
            <w:r>
              <w:rPr>
                <w:rFonts w:hint="default"/>
                <w:sz w:val="18"/>
                <w:szCs w:val="18"/>
                <w:vertAlign w:val="baseline"/>
                <w:lang w:val="en-US" w:eastAsia="zh-CN"/>
              </w:rPr>
              <w:t>对拍卖企业年度监督检查</w:t>
            </w:r>
          </w:p>
        </w:tc>
        <w:tc>
          <w:tcPr>
            <w:tcW w:w="4514" w:type="dxa"/>
            <w:vAlign w:val="center"/>
          </w:tcPr>
          <w:p>
            <w:pPr>
              <w:jc w:val="left"/>
              <w:rPr>
                <w:rFonts w:hint="default"/>
                <w:sz w:val="18"/>
                <w:szCs w:val="18"/>
                <w:vertAlign w:val="baseline"/>
                <w:lang w:val="en-US" w:eastAsia="zh-CN"/>
              </w:rPr>
            </w:pPr>
            <w:r>
              <w:rPr>
                <w:rFonts w:hint="default"/>
                <w:sz w:val="18"/>
                <w:szCs w:val="18"/>
                <w:vertAlign w:val="baseline"/>
                <w:lang w:val="en-US" w:eastAsia="zh-CN"/>
              </w:rPr>
              <w:t>《拍卖管理办法》（商务部令2015年第2号  修正）</w:t>
            </w:r>
          </w:p>
        </w:tc>
        <w:tc>
          <w:tcPr>
            <w:tcW w:w="1154"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1次</w:t>
            </w:r>
          </w:p>
        </w:tc>
        <w:tc>
          <w:tcPr>
            <w:tcW w:w="1168"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40%（3家）</w:t>
            </w:r>
          </w:p>
        </w:tc>
        <w:tc>
          <w:tcPr>
            <w:tcW w:w="1182" w:type="dxa"/>
            <w:vAlign w:val="center"/>
          </w:tcPr>
          <w:p>
            <w:pPr>
              <w:jc w:val="center"/>
              <w:rPr>
                <w:rFonts w:hint="default"/>
                <w:sz w:val="18"/>
                <w:szCs w:val="18"/>
                <w:vertAlign w:val="baseline"/>
                <w:lang w:val="en-US" w:eastAsia="zh-CN"/>
              </w:rPr>
            </w:pPr>
            <w:r>
              <w:rPr>
                <w:rFonts w:hint="default"/>
                <w:sz w:val="18"/>
                <w:szCs w:val="18"/>
                <w:vertAlign w:val="baseline"/>
                <w:lang w:val="en-US" w:eastAsia="zh-CN"/>
              </w:rPr>
              <w:t>不少于2人</w:t>
            </w:r>
          </w:p>
        </w:tc>
        <w:tc>
          <w:tcPr>
            <w:tcW w:w="1182"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3-12月份</w:t>
            </w:r>
          </w:p>
        </w:tc>
        <w:tc>
          <w:tcPr>
            <w:tcW w:w="117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7家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7" w:type="dxa"/>
          </w:tcPr>
          <w:p>
            <w:pPr>
              <w:rPr>
                <w:rFonts w:hint="default"/>
                <w:vertAlign w:val="baseline"/>
                <w:lang w:val="en-US" w:eastAsia="zh-CN"/>
              </w:rPr>
            </w:pPr>
          </w:p>
        </w:tc>
        <w:tc>
          <w:tcPr>
            <w:tcW w:w="1196" w:type="dxa"/>
          </w:tcPr>
          <w:p>
            <w:pPr>
              <w:jc w:val="center"/>
              <w:rPr>
                <w:rFonts w:hint="default"/>
                <w:vertAlign w:val="baseline"/>
                <w:lang w:val="en-US" w:eastAsia="zh-CN"/>
              </w:rPr>
            </w:pPr>
            <w:r>
              <w:rPr>
                <w:rFonts w:hint="eastAsia" w:ascii="仿宋" w:hAnsi="仿宋" w:eastAsia="仿宋" w:cs="仿宋"/>
                <w:b/>
                <w:bCs/>
                <w:sz w:val="24"/>
                <w:szCs w:val="24"/>
                <w:vertAlign w:val="baseline"/>
                <w:lang w:val="en-US" w:eastAsia="zh-CN"/>
              </w:rPr>
              <w:t>总计</w:t>
            </w:r>
          </w:p>
        </w:tc>
        <w:tc>
          <w:tcPr>
            <w:tcW w:w="2364" w:type="dxa"/>
          </w:tcPr>
          <w:p>
            <w:pPr>
              <w:rPr>
                <w:rFonts w:hint="default"/>
                <w:vertAlign w:val="baseline"/>
                <w:lang w:val="en-US" w:eastAsia="zh-CN"/>
              </w:rPr>
            </w:pPr>
          </w:p>
        </w:tc>
        <w:tc>
          <w:tcPr>
            <w:tcW w:w="4514" w:type="dxa"/>
          </w:tcPr>
          <w:p>
            <w:pPr>
              <w:rPr>
                <w:rFonts w:hint="default"/>
                <w:vertAlign w:val="baseline"/>
                <w:lang w:val="en-US" w:eastAsia="zh-CN"/>
              </w:rPr>
            </w:pPr>
          </w:p>
        </w:tc>
        <w:tc>
          <w:tcPr>
            <w:tcW w:w="1154" w:type="dxa"/>
          </w:tcPr>
          <w:p>
            <w:pPr>
              <w:jc w:val="center"/>
              <w:rPr>
                <w:rFonts w:hint="default"/>
                <w:sz w:val="18"/>
                <w:szCs w:val="18"/>
                <w:vertAlign w:val="baseline"/>
                <w:lang w:val="en-US" w:eastAsia="zh-CN"/>
              </w:rPr>
            </w:pPr>
          </w:p>
        </w:tc>
        <w:tc>
          <w:tcPr>
            <w:tcW w:w="1168" w:type="dxa"/>
          </w:tcPr>
          <w:p>
            <w:pPr>
              <w:jc w:val="center"/>
              <w:rPr>
                <w:rFonts w:hint="default"/>
                <w:sz w:val="18"/>
                <w:szCs w:val="18"/>
                <w:vertAlign w:val="baseline"/>
                <w:lang w:val="en-US" w:eastAsia="zh-CN"/>
              </w:rPr>
            </w:pPr>
            <w:r>
              <w:rPr>
                <w:rFonts w:hint="eastAsia"/>
                <w:sz w:val="18"/>
                <w:szCs w:val="18"/>
                <w:vertAlign w:val="baseline"/>
                <w:lang w:val="en-US" w:eastAsia="zh-CN"/>
              </w:rPr>
              <w:t>9%（44家）</w:t>
            </w:r>
          </w:p>
        </w:tc>
        <w:tc>
          <w:tcPr>
            <w:tcW w:w="1182" w:type="dxa"/>
          </w:tcPr>
          <w:p>
            <w:pPr>
              <w:jc w:val="center"/>
              <w:rPr>
                <w:rFonts w:hint="default"/>
                <w:sz w:val="18"/>
                <w:szCs w:val="18"/>
                <w:vertAlign w:val="baseline"/>
                <w:lang w:val="en-US" w:eastAsia="zh-CN"/>
              </w:rPr>
            </w:pPr>
          </w:p>
        </w:tc>
        <w:tc>
          <w:tcPr>
            <w:tcW w:w="1182" w:type="dxa"/>
          </w:tcPr>
          <w:p>
            <w:pPr>
              <w:jc w:val="center"/>
              <w:rPr>
                <w:rFonts w:hint="default"/>
                <w:sz w:val="18"/>
                <w:szCs w:val="18"/>
                <w:vertAlign w:val="baseline"/>
                <w:lang w:val="en-US" w:eastAsia="zh-CN"/>
              </w:rPr>
            </w:pPr>
          </w:p>
        </w:tc>
        <w:tc>
          <w:tcPr>
            <w:tcW w:w="1177" w:type="dxa"/>
          </w:tcPr>
          <w:p>
            <w:pPr>
              <w:jc w:val="center"/>
              <w:rPr>
                <w:rFonts w:hint="default"/>
                <w:sz w:val="18"/>
                <w:szCs w:val="18"/>
                <w:vertAlign w:val="baseline"/>
                <w:lang w:val="en-US" w:eastAsia="zh-CN"/>
              </w:rPr>
            </w:pPr>
            <w:r>
              <w:rPr>
                <w:rFonts w:hint="eastAsia"/>
                <w:sz w:val="18"/>
                <w:szCs w:val="18"/>
                <w:vertAlign w:val="baseline"/>
                <w:lang w:val="en-US" w:eastAsia="zh-CN"/>
              </w:rPr>
              <w:t>467家</w:t>
            </w:r>
          </w:p>
        </w:tc>
      </w:tr>
    </w:tbl>
    <w:p>
      <w:pPr>
        <w:rPr>
          <w:rFonts w:hint="default"/>
          <w:lang w:val="en-US" w:eastAsia="zh-CN"/>
        </w:rPr>
      </w:pPr>
    </w:p>
    <w:sectPr>
      <w:pgSz w:w="16838" w:h="11906" w:orient="landscape"/>
      <w:pgMar w:top="980" w:right="1440" w:bottom="64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00803"/>
    <w:rsid w:val="027B561B"/>
    <w:rsid w:val="05825881"/>
    <w:rsid w:val="068A159E"/>
    <w:rsid w:val="0DA577EC"/>
    <w:rsid w:val="0DE00803"/>
    <w:rsid w:val="14A4532A"/>
    <w:rsid w:val="14EA335C"/>
    <w:rsid w:val="1648273D"/>
    <w:rsid w:val="173723BC"/>
    <w:rsid w:val="1EC04178"/>
    <w:rsid w:val="29E51C1C"/>
    <w:rsid w:val="386F27E3"/>
    <w:rsid w:val="390A263B"/>
    <w:rsid w:val="39E67862"/>
    <w:rsid w:val="3D5E7FDD"/>
    <w:rsid w:val="428C530C"/>
    <w:rsid w:val="4AA25D03"/>
    <w:rsid w:val="595A1B09"/>
    <w:rsid w:val="5B603092"/>
    <w:rsid w:val="5F6C30C8"/>
    <w:rsid w:val="618F7657"/>
    <w:rsid w:val="6C9F71F2"/>
    <w:rsid w:val="753B4C43"/>
    <w:rsid w:val="79FB02CE"/>
    <w:rsid w:val="7C202151"/>
    <w:rsid w:val="7C2123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2020-04-16T03:26:00Z</dcterms:created>
  <dc:creator>袁宝宁(袁宝宁:套红)</dc:creator>
  <cp:lastModifiedBy>Administrator</cp:lastModifiedBy>
  <cp:lastPrinted>2020-04-17T01:25:00Z</cp:lastPrinted>
  <dcterms:modified xsi:type="dcterms:W3CDTF">2021-03-24T09:10:34Z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